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59cd5c30030a4ae5"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3236</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ZATVOR U GOSPIĆU</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11</w:t>
            </w:r>
          </w:p>
        </w:tc>
      </w:tr>
    </w:tbl>
    <w:p>
      <w:r>
        <w:br/>
      </w:r>
    </w:p>
    <w:p>
      <w:pPr>
        <w:jc w:val="center"/>
        <w:pStyle w:val="Normal"/>
        <w:spacing w:line="240" w:lineRule="auto"/>
      </w:pPr>
      <w:r>
        <w:rPr>
          <w:b/>
          <w:sz w:val="28"/>
          <w:rFonts w:ascii="Times New Roman" w:hAnsi="Times New Roman"/>
        </w:rPr>
        <w:t>BILJEŠKE UZ FINANCIJSKE IZVJEŠTAJE</w:t>
      </w:r>
    </w:p>
    <w:p>
      <w:pPr>
        <w:jc w:val="center"/>
        <w:pStyle w:val="Normal"/>
        <w:spacing w:line="240" w:lineRule="auto"/>
      </w:pPr>
      <w:r>
        <w:rPr>
          <w:b/>
          <w:sz w:val="28"/>
          <w:rFonts w:ascii="Times New Roman" w:hAnsi="Times New Roman"/>
        </w:rPr>
        <w:t>ZA RAZDOBLJE</w:t>
      </w:r>
    </w:p>
    <w:p>
      <w:pPr>
        <w:jc w:val="center"/>
        <w:pStyle w:val="Normal"/>
        <w:spacing w:line="240" w:lineRule="auto"/>
      </w:pPr>
      <w:r>
        <w:rPr>
          <w:b/>
          <w:sz w:val="28"/>
          <w:rFonts w:ascii="Times New Roman" w:hAnsi="Times New Roman"/>
        </w:rPr>
        <w:t>I - VI 2025.</w:t>
      </w:r>
    </w:p>
    <w:p/>
    <w:p>
      <w:pPr>
        <w:jc w:val="center"/>
        <w:pStyle w:val="Normal"/>
        <w:spacing w:line="240" w:lineRule="auto"/>
        <w:keepNext/>
      </w:pPr>
      <w:r>
        <w:rPr>
          <w:b/>
          <w:sz w:val="28"/>
          <w:rFonts w:ascii="Times New Roman" w:hAnsi="Times New Roman"/>
        </w:rPr>
        <w:t>Izvještaj o prihodima i rashodima, primicima i izdacima</w:t>
      </w:r>
    </w:p>
    <w:p>
      <w:pPr>
        <w:jc w:val="center"/>
        <w:pStyle w:val="Normal"/>
        <w:spacing w:line="240" w:lineRule="auto"/>
        <w:keepNext/>
      </w:pPr>
      <w:r>
        <w:rPr>
          <w:sz w:val="28"/>
          <w:rFonts w:ascii="Times New Roman" w:hAnsi="Times New Roman"/>
        </w:rPr>
        <w:t>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2.218.975,54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2.441.962,03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2.111.985,29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2.726.192,01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298.362,45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145.096,12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57.712,50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145.096,12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57.712,50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39,8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5.227,79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PRIMITAKA OD FINANCIJSKE IMOVINE I ZADUŽIVANJA (šifre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5.227,79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32.166,33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361.302,74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1123,2</w:t>
            </w:r>
          </w:p>
        </w:tc>
      </w:tr>
    </w:tbl>
    <w:p>
      <w:pPr>
        <w:spacing w:before="0" w:after="0"/>
      </w:pPr>
    </w:p>
    <w:p>
      <w:pPr>
        <w:jc w:val="both"/>
        <w:pStyle w:val="Normal"/>
        <w:spacing w:line="240" w:lineRule="auto"/>
      </w:pPr>
      <w:r>
        <w:rPr>
          <w:sz w:val="24"/>
          <w:rFonts w:ascii="Times New Roman" w:hAnsi="Times New Roman"/>
        </w:rPr>
        <w:t>
Zatvor u Gospiću ustrojstvena je jedinica Uprave za zatvorski sustav i probaciju Ministarstva pravosuđa, uprave i digitalne transformacije. Zatvor je ustrojen u cilju izvršenja kazne zatvora izrečene u prekršajnom, kaznenom i drugom sudskom postupku. Svrha zatvora jest briga o zatvorenicima tijekom izdržavanja kazne te resocijalizacija i priprava za život na slobodi, što čini njegovu osnovnu djelatnost. Rad Zatvora u Gospiću financira se iz sredstava Državnog proračuna te dijelom iz prihoda ostvarenih vlastitom djelatnošću kroz aktivnosti Odjela za rad i strukovnu izobrazbu zatvorenika, gdje se sukladno zakonskim odredbama zatvorenike potiče na rad i omogućuje im se rad temeljem Zakona o izvršavanju kazne zatvora (NN 14/21, 155/23) i Pravilnika o radu i raspolaganju novcem zatvorenika (Narodne novine 67/22). U okviru vlastite djelatnosti Zatvor je nositelj  regijske proizvodnje hrane, prvenstveno proizvodnje svinjskog mesa i krumpira za potrebe ishrane zatvorenika  kako Zatvora u Gospiću tako i  ostalih zatvora unutar zatvorskog sustava. Ostvarivanje i trošenje vlastitih prihoda vrši se u skladu sa Pravilnikom o mjerilima i načinu korištenja vlastitih prihoda kaznenih tijela (Narodne novine 67/23)
Izvori financiranja su:
11 – Državni proračun
31- Vlastiti prihodi ( prihodi od: prodaje proizvoda, pruženih usluga fizičkog rada, sprovođenja, društvene prehrane, usluga kopiranja, rabata zatvorske prodavaonice, prodaje ambalaže, ostali nespomenuti prihodi)
41 - Prihodi od igara na sreću
52 –Ostale  pomoći i darovnice – poticaji u poljoprivredi doznačeni putem APPRR
Zakonski predstavnik i odgovorna osoba Zatvora u Gospiću: Petar Rukavina, upravitelj.
Bilješke sastavila: Božica Pavelić, voditelj Odjela financijsko-knjigovodstvenih poslova
</w:t>
      </w:r>
    </w:p>
    <w:p>
      <w:r>
        <w:br/>
      </w:r>
    </w:p>
    <w:p>
      <w:pPr>
        <w:jc w:val="center"/>
        <w:pStyle w:val="Normal"/>
        <w:spacing w:line="240" w:lineRule="auto"/>
        <w:keepNext/>
      </w:pPr>
      <w:r>
        <w:rPr>
          <w:sz w:val="28"/>
          <w:rFonts w:ascii="Times New Roman" w:hAnsi="Times New Roman"/>
        </w:rPr>
        <w:t>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2.218.975,54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2.441.962,03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110,0</w:t>
            </w:r>
          </w:p>
        </w:tc>
      </w:tr>
    </w:tbl>
    <w:p>
      <w:pPr>
        <w:spacing w:before="0" w:after="0"/>
      </w:pPr>
    </w:p>
    <w:p>
      <w:pPr>
        <w:jc w:val="both"/>
        <w:pStyle w:val="Normal"/>
        <w:spacing w:line="240" w:lineRule="auto"/>
      </w:pPr>
      <w:r>
        <w:rPr>
          <w:sz w:val="24"/>
          <w:rFonts w:ascii="Times New Roman" w:hAnsi="Times New Roman"/>
        </w:rPr>
        <w:t>Ostvareni prihodi veći su za 10 % od ostvarenog u izvještajnom razdoblju prethodne godine, što je rezultat ostvarenih većih prihoda iz proračuna,  većih prihoda od prodaje robe i pruženih usluga te rabata od zatvorske prodavaonice</w:t>
      </w:r>
    </w:p>
    <w:p/>
    <w:p>
      <w:pPr>
        <w:jc w:val="center"/>
        <w:pStyle w:val="Normal"/>
        <w:spacing w:line="240" w:lineRule="auto"/>
        <w:keepNext/>
      </w:pPr>
      <w:r>
        <w:rPr>
          <w:sz w:val="28"/>
          <w:rFonts w:ascii="Times New Roman" w:hAnsi="Times New Roman"/>
        </w:rPr>
        <w:t>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iz inozemstva i od subjekata unutar općeg proračuna (šifre 631+632+633+634+635+636+637+638+639)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7.329,60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5.569,60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76,0</w:t>
            </w:r>
          </w:p>
        </w:tc>
      </w:tr>
    </w:tbl>
    <w:p>
      <w:pPr>
        <w:spacing w:before="0" w:after="0"/>
      </w:pPr>
    </w:p>
    <w:p>
      <w:pPr>
        <w:jc w:val="both"/>
        <w:pStyle w:val="Normal"/>
        <w:spacing w:line="240" w:lineRule="auto"/>
      </w:pPr>
      <w:r>
        <w:rPr>
          <w:sz w:val="24"/>
          <w:rFonts w:ascii="Times New Roman" w:hAnsi="Times New Roman"/>
        </w:rPr>
        <w:t>Ostvareni prihodi manji su za 24 % od ostvarenog u izvještajnom razdoblju prethodne godine, a ostvareni su s osnova poticaja u poljoprivredi iz DP i  temeljem prijenosa EU sredstava.</w:t>
      </w:r>
    </w:p>
    <w:p/>
    <w:p>
      <w:pPr>
        <w:jc w:val="center"/>
        <w:pStyle w:val="Normal"/>
        <w:spacing w:line="240" w:lineRule="auto"/>
        <w:keepNext/>
      </w:pPr>
      <w:r>
        <w:rPr>
          <w:sz w:val="28"/>
          <w:rFonts w:ascii="Times New Roman" w:hAnsi="Times New Roman"/>
        </w:rPr>
        <w:t>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imovine (šifre 641+642+643)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63,8</w:t>
            </w:r>
          </w:p>
        </w:tc>
      </w:tr>
    </w:tbl>
    <w:p>
      <w:pPr>
        <w:spacing w:before="0" w:after="0"/>
      </w:pPr>
    </w:p>
    <w:p>
      <w:pPr>
        <w:jc w:val="both"/>
        <w:pStyle w:val="Normal"/>
        <w:spacing w:line="240" w:lineRule="auto"/>
      </w:pPr>
      <w:r>
        <w:rPr>
          <w:sz w:val="24"/>
          <w:rFonts w:ascii="Times New Roman" w:hAnsi="Times New Roman"/>
        </w:rPr>
        <w:t>Ostvareni prihodi  manji su za 36,20 %  a  ostvareni su s osnove kamata za sredstva na žiro-računu </w:t>
      </w:r>
    </w:p>
    <w:p/>
    <w:p>
      <w:pPr>
        <w:jc w:val="center"/>
        <w:pStyle w:val="Normal"/>
        <w:spacing w:line="240" w:lineRule="auto"/>
        <w:keepNext/>
      </w:pPr>
      <w:r>
        <w:rPr>
          <w:sz w:val="28"/>
          <w:rFonts w:ascii="Times New Roman" w:hAnsi="Times New Roman"/>
        </w:rPr>
        <w:t>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upravnih i administrativnih pristojbi, pristojbi po posebnim propisima i naknada (šifre 651+652+653+654)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10.151,23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pPr>
        <w:jc w:val="both"/>
        <w:pStyle w:val="Normal"/>
        <w:spacing w:line="240" w:lineRule="auto"/>
      </w:pPr>
      <w:r>
        <w:rPr>
          <w:sz w:val="24"/>
          <w:rFonts w:ascii="Times New Roman" w:hAnsi="Times New Roman"/>
        </w:rPr>
        <w:t>U izvještajnom razdoblju nije bilo ostvarenih prihoda, dok su u istom razdoblju 2024.g. iznosili 10.151,23 € a odnosili su se na prihode od naknada za priređivanje igara na sreću za udruge civilnog društva.</w:t>
      </w:r>
    </w:p>
    <w:p/>
    <w:p>
      <w:pPr>
        <w:jc w:val="center"/>
        <w:pStyle w:val="Normal"/>
        <w:spacing w:line="240" w:lineRule="auto"/>
        <w:keepNext/>
      </w:pPr>
      <w:r>
        <w:rPr>
          <w:sz w:val="28"/>
          <w:rFonts w:ascii="Times New Roman" w:hAnsi="Times New Roman"/>
        </w:rPr>
        <w:t>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te pruženih usluga, prihodi od donacija te povrati po protestiranim jamstvima (šifre 661+663)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58.199,98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62.695,17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107,7</w:t>
            </w:r>
          </w:p>
        </w:tc>
      </w:tr>
    </w:tbl>
    <w:p>
      <w:pPr>
        <w:spacing w:before="0" w:after="0"/>
      </w:pPr>
    </w:p>
    <w:p>
      <w:pPr>
        <w:jc w:val="both"/>
        <w:pStyle w:val="Normal"/>
        <w:spacing w:line="240" w:lineRule="auto"/>
      </w:pPr>
      <w:r>
        <w:rPr>
          <w:sz w:val="24"/>
          <w:rFonts w:ascii="Times New Roman" w:hAnsi="Times New Roman"/>
        </w:rPr>
        <w:t>Ostvareni prihodi veći su za 7,7% a odnose se na prihode od prodaje vlastitih proizvoda (janjaca, jarića, , svinja te interne realizacije), pruženih usluga (preprate zatvorenika, kopiranja, menze za djelatnike, najma prostora, rada zatvorenika izvan zatvora) rabata zatvorske prodavaonice, prihoda od ambalaže, naknade štete od zatvorenika</w:t>
      </w:r>
    </w:p>
    <w:p/>
    <w:p>
      <w:pPr>
        <w:jc w:val="center"/>
        <w:pStyle w:val="Normal"/>
        <w:spacing w:line="240" w:lineRule="auto"/>
        <w:keepNext/>
      </w:pPr>
      <w:r>
        <w:rPr>
          <w:sz w:val="28"/>
          <w:rFonts w:ascii="Times New Roman" w:hAnsi="Times New Roman"/>
        </w:rPr>
        <w:t>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51.236,88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54.770,47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106,9</w:t>
            </w:r>
          </w:p>
        </w:tc>
      </w:tr>
    </w:tbl>
    <w:p>
      <w:pPr>
        <w:spacing w:before="0" w:after="0"/>
      </w:pPr>
    </w:p>
    <w:p>
      <w:pPr>
        <w:jc w:val="both"/>
        <w:pStyle w:val="Normal"/>
        <w:spacing w:line="240" w:lineRule="auto"/>
      </w:pPr>
      <w:r>
        <w:rPr>
          <w:sz w:val="24"/>
          <w:rFonts w:ascii="Times New Roman" w:hAnsi="Times New Roman"/>
        </w:rPr>
        <w:t>Ostavareni prihodi veći su za 6,9% a odnose se na:
	prihode od prodaje proizvoda i robe   u iznosu 13.787,21 € - ostvareni od prodaje na tržištu janjaca, jarića i svinja
	prihode od isporuka proizvoda unutar sustava u iznosu 40.983,26 €
</w:t>
      </w:r>
    </w:p>
    <w:p/>
    <w:p>
      <w:pPr>
        <w:jc w:val="center"/>
        <w:pStyle w:val="Normal"/>
        <w:spacing w:line="240" w:lineRule="auto"/>
        <w:keepNext/>
      </w:pPr>
      <w:r>
        <w:rPr>
          <w:sz w:val="28"/>
          <w:rFonts w:ascii="Times New Roman" w:hAnsi="Times New Roman"/>
        </w:rPr>
        <w:t>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pruženih usluga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5.213,10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7.924,70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152,0</w:t>
            </w:r>
          </w:p>
        </w:tc>
      </w:tr>
    </w:tbl>
    <w:p>
      <w:pPr>
        <w:spacing w:before="0" w:after="0"/>
      </w:pPr>
    </w:p>
    <w:p>
      <w:pPr>
        <w:jc w:val="both"/>
        <w:pStyle w:val="Normal"/>
        <w:spacing w:line="240" w:lineRule="auto"/>
      </w:pPr>
      <w:r>
        <w:rPr>
          <w:sz w:val="24"/>
          <w:rFonts w:ascii="Times New Roman" w:hAnsi="Times New Roman"/>
        </w:rPr>
        <w:t>Ostvareni prihodi veći su za 52 % a odnose se na prihode od kopiranja, preprata zatvorenika,  menze za zaposlenike, najma prostora za samoposlužni aparat, prihod od usluga rada zatvorenika izvan zatvora</w:t>
      </w:r>
    </w:p>
    <w:p/>
    <w:p>
      <w:pPr>
        <w:jc w:val="center"/>
        <w:pStyle w:val="Normal"/>
        <w:spacing w:line="240" w:lineRule="auto"/>
        <w:keepNext/>
      </w:pPr>
      <w:r>
        <w:rPr>
          <w:sz w:val="28"/>
          <w:rFonts w:ascii="Times New Roman" w:hAnsi="Times New Roman"/>
        </w:rPr>
        <w:t>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i od HZZO-a na temelju ugovornih obveza (šifre 671+673)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2.142.056,91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2.367.379,86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110,5</w:t>
            </w:r>
          </w:p>
        </w:tc>
      </w:tr>
    </w:tbl>
    <w:p>
      <w:pPr>
        <w:spacing w:before="0" w:after="0"/>
      </w:pPr>
    </w:p>
    <w:p>
      <w:pPr>
        <w:jc w:val="both"/>
        <w:pStyle w:val="Normal"/>
        <w:spacing w:line="240" w:lineRule="auto"/>
      </w:pPr>
      <w:r>
        <w:rPr>
          <w:sz w:val="24"/>
          <w:rFonts w:ascii="Times New Roman" w:hAnsi="Times New Roman"/>
        </w:rPr>
        <w:t>Ostvareni su za 10,5% više u odnosu na isto razdoblje 2024.g., a odnose se na prihod iz državnog proračuna za financiranje rashoda poslovanja</w:t>
      </w:r>
    </w:p>
    <w:p/>
    <w:p>
      <w:pPr>
        <w:jc w:val="center"/>
        <w:pStyle w:val="Normal"/>
        <w:spacing w:line="240" w:lineRule="auto"/>
        <w:keepNext/>
      </w:pPr>
      <w:r>
        <w:rPr>
          <w:sz w:val="28"/>
          <w:rFonts w:ascii="Times New Roman" w:hAnsi="Times New Roman"/>
        </w:rPr>
        <w:t>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redovne djelatnosti proračunskih korisnika (šifre 6711 do 6714)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2.142.056,91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2.367.379,86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110,5</w:t>
            </w:r>
          </w:p>
        </w:tc>
      </w:tr>
    </w:tbl>
    <w:p>
      <w:pPr>
        <w:spacing w:before="0" w:after="0"/>
      </w:pPr>
    </w:p>
    <w:p>
      <w:pPr>
        <w:jc w:val="both"/>
        <w:pStyle w:val="Normal"/>
        <w:spacing w:line="240" w:lineRule="auto"/>
      </w:pPr>
      <w:r>
        <w:rPr>
          <w:sz w:val="24"/>
          <w:rFonts w:ascii="Times New Roman" w:hAnsi="Times New Roman"/>
        </w:rPr>
        <w:t>Ostvareni prihodi veći su za 10,5 % a odnose se na prihode iz državnog proračuna za financiranje redovne djelatnosti</w:t>
      </w:r>
    </w:p>
    <w:p/>
    <w:p>
      <w:pPr>
        <w:jc w:val="center"/>
        <w:pStyle w:val="Normal"/>
        <w:spacing w:line="240" w:lineRule="auto"/>
        <w:keepNext/>
      </w:pPr>
      <w:r>
        <w:rPr>
          <w:sz w:val="28"/>
          <w:rFonts w:ascii="Times New Roman" w:hAnsi="Times New Roman"/>
        </w:rPr>
        <w:t>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1.998.710,79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2.314.536,11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115,8</w:t>
            </w:r>
          </w:p>
        </w:tc>
      </w:tr>
    </w:tbl>
    <w:p>
      <w:pPr>
        <w:spacing w:before="0" w:after="0"/>
      </w:pPr>
    </w:p>
    <w:p>
      <w:pPr>
        <w:jc w:val="both"/>
        <w:pStyle w:val="Normal"/>
        <w:spacing w:line="240" w:lineRule="auto"/>
      </w:pPr>
      <w:r>
        <w:rPr>
          <w:sz w:val="24"/>
          <w:rFonts w:ascii="Times New Roman" w:hAnsi="Times New Roman"/>
        </w:rPr>
        <w:t>Ostvareni prihodi veći su za 15,5 % a odnose se na prihode iz državnog proračuna za financiranje redovne djelatnosti, što je rezultat povećanja osnovice za plaće te inflatornih utjecaja.</w:t>
      </w:r>
    </w:p>
    <w:p/>
    <w:p>
      <w:pPr>
        <w:jc w:val="center"/>
        <w:pStyle w:val="Normal"/>
        <w:spacing w:line="240" w:lineRule="auto"/>
        <w:keepNext/>
      </w:pPr>
      <w:r>
        <w:rPr>
          <w:sz w:val="28"/>
          <w:rFonts w:ascii="Times New Roman" w:hAnsi="Times New Roman"/>
        </w:rPr>
        <w:t>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143.346,12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52.843,75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36,9</w:t>
            </w:r>
          </w:p>
        </w:tc>
      </w:tr>
    </w:tbl>
    <w:p>
      <w:pPr>
        <w:spacing w:before="0" w:after="0"/>
      </w:pPr>
    </w:p>
    <w:p>
      <w:pPr>
        <w:jc w:val="both"/>
        <w:pStyle w:val="Normal"/>
        <w:spacing w:line="240" w:lineRule="auto"/>
      </w:pPr>
      <w:r>
        <w:rPr>
          <w:sz w:val="24"/>
          <w:rFonts w:ascii="Times New Roman" w:hAnsi="Times New Roman"/>
        </w:rPr>
        <w:t>Ostvareni prihodi manji su za 63,1 % a odnose se na prihod iz proračuna za nabavu nefinancijske imovine. Ostvarenje je manje iz razloga nabave traktora u 2024. godini</w:t>
      </w:r>
    </w:p>
    <w:p/>
    <w:p>
      <w:pPr>
        <w:jc w:val="center"/>
        <w:pStyle w:val="Normal"/>
        <w:spacing w:line="240" w:lineRule="auto"/>
        <w:keepNext/>
      </w:pPr>
      <w:r>
        <w:rPr>
          <w:sz w:val="28"/>
          <w:rFonts w:ascii="Times New Roman" w:hAnsi="Times New Roman"/>
        </w:rPr>
        <w:t>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Kazne, upravne mjere i ostali prihodi (šifre 681+683)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1.236,33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6.316,45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510,9</w:t>
            </w:r>
          </w:p>
        </w:tc>
      </w:tr>
    </w:tbl>
    <w:p>
      <w:pPr>
        <w:spacing w:before="0" w:after="0"/>
      </w:pPr>
    </w:p>
    <w:p>
      <w:pPr>
        <w:jc w:val="both"/>
        <w:pStyle w:val="Normal"/>
        <w:spacing w:line="240" w:lineRule="auto"/>
      </w:pPr>
      <w:r>
        <w:rPr>
          <w:sz w:val="24"/>
          <w:rFonts w:ascii="Times New Roman" w:hAnsi="Times New Roman"/>
        </w:rPr>
        <w:t>Ostvareni prihodi veći su za 410,9 % u odnosu na isto razdoblje prethodne godine. Odnose se na prihod od rabata zatvorske prodavaonice, ostale prihode od povrata sredstava, prodaje ambalaže, naknade štete od zatvorenika. Razlog povećanja je zbog novog načina knjiženja  prenesenog rabata i prihoda od ambalaže u odnosu na konto knjiženja u 2024.</w:t>
      </w:r>
    </w:p>
    <w:p/>
    <w:p>
      <w:pPr>
        <w:jc w:val="center"/>
        <w:pStyle w:val="Normal"/>
        <w:spacing w:line="240" w:lineRule="auto"/>
        <w:keepNext/>
      </w:pPr>
      <w:r>
        <w:rPr>
          <w:sz w:val="28"/>
          <w:rFonts w:ascii="Times New Roman" w:hAnsi="Times New Roman"/>
        </w:rPr>
        <w:t>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2.111.985,29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2.726.192,01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129,1</w:t>
            </w:r>
          </w:p>
        </w:tc>
      </w:tr>
    </w:tbl>
    <w:p>
      <w:pPr>
        <w:spacing w:before="0" w:after="0"/>
      </w:pPr>
    </w:p>
    <w:p>
      <w:pPr>
        <w:jc w:val="both"/>
        <w:pStyle w:val="Normal"/>
        <w:spacing w:line="240" w:lineRule="auto"/>
      </w:pPr>
      <w:r>
        <w:rPr>
          <w:sz w:val="24"/>
          <w:rFonts w:ascii="Times New Roman" w:hAnsi="Times New Roman"/>
        </w:rPr>
        <w:t>Ostvareni rashodi veći su za 29,1 % od ostvarenog u izvještajnom razdoblju prethodne godine, što je rezultat povećanja rashoda za zaposlene za 35,2 % (zbog većeg broja zaposlenih, redovnog povećanja od 0,5 % po godini staža  te povećanja osnovice za plaće) materijalnih rashoda za 10,9 % (zbog povećanja aktivnosti i većeg broja zatvorenika te utjecaja inflacije) i financijskih rashoda za 374,7 % (zbog kamata  na primljene zajmove za financijski leasing – nabava hladnjače za prijevoz mesa )</w:t>
      </w:r>
    </w:p>
    <w:p/>
    <w:p>
      <w:pPr>
        <w:jc w:val="center"/>
        <w:pStyle w:val="Normal"/>
        <w:spacing w:line="240" w:lineRule="auto"/>
        <w:keepNext/>
      </w:pPr>
      <w:r>
        <w:rPr>
          <w:sz w:val="28"/>
          <w:rFonts w:ascii="Times New Roman" w:hAnsi="Times New Roman"/>
        </w:rPr>
        <w:t>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1.608.971,13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2.175.797,76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135,2</w:t>
            </w:r>
          </w:p>
        </w:tc>
      </w:tr>
    </w:tbl>
    <w:p>
      <w:pPr>
        <w:spacing w:before="0" w:after="0"/>
      </w:pPr>
    </w:p>
    <w:p>
      <w:pPr>
        <w:jc w:val="both"/>
        <w:pStyle w:val="Normal"/>
        <w:spacing w:line="240" w:lineRule="auto"/>
      </w:pPr>
      <w:r>
        <w:rPr>
          <w:sz w:val="24"/>
          <w:rFonts w:ascii="Times New Roman" w:hAnsi="Times New Roman"/>
        </w:rPr>
        <w:t>Veći su za 35,2 % od ostvarenog u izvještajnom razdoblju prethodne godine što je rezultat povećanja broja zaposlenih, redovnog povećanja 0,5% po godini staža, povećanja osnovice za plaće te povećanja broja prekovremenih sati kao i promjena u načinu knjiženja rashoda – ukidanja vremenskih razgraničenja (uključeno je 7 rashoda za plaće u II. tromjesečju).</w:t>
      </w:r>
    </w:p>
    <w:p/>
    <w:p>
      <w:pPr>
        <w:jc w:val="center"/>
        <w:pStyle w:val="Normal"/>
        <w:spacing w:line="240" w:lineRule="auto"/>
        <w:keepNext/>
      </w:pPr>
      <w:r>
        <w:rPr>
          <w:sz w:val="28"/>
          <w:rFonts w:ascii="Times New Roman" w:hAnsi="Times New Roman"/>
        </w:rPr>
        <w:t>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redovan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1.149.376,83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1.545.542,13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134,5</w:t>
            </w:r>
          </w:p>
        </w:tc>
      </w:tr>
    </w:tbl>
    <w:p>
      <w:pPr>
        <w:spacing w:before="0" w:after="0"/>
      </w:pPr>
    </w:p>
    <w:p>
      <w:pPr>
        <w:jc w:val="both"/>
        <w:pStyle w:val="Normal"/>
        <w:spacing w:line="240" w:lineRule="auto"/>
      </w:pPr>
      <w:r>
        <w:rPr>
          <w:sz w:val="24"/>
          <w:rFonts w:ascii="Times New Roman" w:hAnsi="Times New Roman"/>
        </w:rPr>
        <w:t>Veći su za 34,5 % od ostvarenog u izvještajnom razdoblju prethodne godine što je rezultat povećanja broja zaposlenih, redovnog povećanja 0,5% po godini staža, povećanja osnovice plaće kao i promjena u načinu knjiženja rashoda – ukidanja vremenskih razgraničenja (uključeno je 7 rashoda za plaće u II. tromjesečju).</w:t>
      </w:r>
    </w:p>
    <w:p/>
    <w:p>
      <w:pPr>
        <w:jc w:val="center"/>
        <w:pStyle w:val="Normal"/>
        <w:spacing w:line="240" w:lineRule="auto"/>
        <w:keepNext/>
      </w:pPr>
      <w:r>
        <w:rPr>
          <w:sz w:val="28"/>
          <w:rFonts w:ascii="Times New Roman" w:hAnsi="Times New Roman"/>
        </w:rPr>
        <w:t>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prekovremeni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77.295,22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89.897,24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116,3</w:t>
            </w:r>
          </w:p>
        </w:tc>
      </w:tr>
    </w:tbl>
    <w:p>
      <w:pPr>
        <w:spacing w:before="0" w:after="0"/>
      </w:pPr>
    </w:p>
    <w:p>
      <w:pPr>
        <w:jc w:val="both"/>
        <w:pStyle w:val="Normal"/>
        <w:spacing w:line="240" w:lineRule="auto"/>
      </w:pPr>
      <w:r>
        <w:rPr>
          <w:sz w:val="24"/>
          <w:rFonts w:ascii="Times New Roman" w:hAnsi="Times New Roman"/>
        </w:rPr>
        <w:t>Veći su za 16,3 % u odnosu na izvještajno razdoblje prethodne godine uslijed bolovanja zaposlenika i korištenja godišnjih odmora.</w:t>
      </w:r>
    </w:p>
    <w:p/>
    <w:p>
      <w:pPr>
        <w:jc w:val="center"/>
        <w:pStyle w:val="Normal"/>
        <w:spacing w:line="240" w:lineRule="auto"/>
        <w:keepNext/>
      </w:pPr>
      <w:r>
        <w:rPr>
          <w:sz w:val="28"/>
          <w:rFonts w:ascii="Times New Roman" w:hAnsi="Times New Roman"/>
        </w:rPr>
        <w:t>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rashodi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50.305,06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93.857,98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186,6</w:t>
            </w:r>
          </w:p>
        </w:tc>
      </w:tr>
    </w:tbl>
    <w:p>
      <w:pPr>
        <w:spacing w:before="0" w:after="0"/>
      </w:pPr>
    </w:p>
    <w:p>
      <w:pPr>
        <w:jc w:val="both"/>
        <w:pStyle w:val="Normal"/>
        <w:spacing w:line="240" w:lineRule="auto"/>
      </w:pPr>
      <w:r>
        <w:rPr>
          <w:sz w:val="24"/>
          <w:rFonts w:ascii="Times New Roman" w:hAnsi="Times New Roman"/>
        </w:rPr>
        <w:t>Veći su za 86,6 % u odnosu na izvještajno razdoblje prethodne godine uslijed isplate otpremnina djelatnicima prilikom odlaska u mirovinu</w:t>
      </w:r>
    </w:p>
    <w:p/>
    <w:p>
      <w:pPr>
        <w:jc w:val="center"/>
        <w:pStyle w:val="Normal"/>
        <w:spacing w:line="240" w:lineRule="auto"/>
        <w:keepNext/>
      </w:pPr>
      <w:r>
        <w:rPr>
          <w:sz w:val="28"/>
          <w:rFonts w:ascii="Times New Roman" w:hAnsi="Times New Roman"/>
        </w:rPr>
        <w:t>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Doprinosi na plaće (šifre 3131 do 3133)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331.994,02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446.500,41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134,5</w:t>
            </w:r>
          </w:p>
        </w:tc>
      </w:tr>
    </w:tbl>
    <w:p>
      <w:pPr>
        <w:spacing w:before="0" w:after="0"/>
      </w:pPr>
    </w:p>
    <w:p>
      <w:pPr>
        <w:jc w:val="both"/>
        <w:pStyle w:val="Normal"/>
        <w:spacing w:line="240" w:lineRule="auto"/>
      </w:pPr>
      <w:r>
        <w:rPr>
          <w:sz w:val="24"/>
          <w:rFonts w:ascii="Times New Roman" w:hAnsi="Times New Roman"/>
        </w:rPr>
        <w:t>Veći su za 34,5 % u odnosu na izvještajno razdoblje prethodne godine uslijed povećanja broja zaposlenih, redovnog povećanja 0,5 % po godini staža i povećanja osnovice za plaće</w:t>
      </w:r>
    </w:p>
    <w:p/>
    <w:p>
      <w:pPr>
        <w:jc w:val="center"/>
        <w:pStyle w:val="Normal"/>
        <w:spacing w:line="240" w:lineRule="auto"/>
        <w:keepNext/>
      </w:pPr>
      <w:r>
        <w:rPr>
          <w:sz w:val="28"/>
          <w:rFonts w:ascii="Times New Roman" w:hAnsi="Times New Roman"/>
        </w:rPr>
        <w:t>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Materijalni rashodi (šifre 321+322+323+324+325+329)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492.363,97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548.025,88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111,3</w:t>
            </w:r>
          </w:p>
        </w:tc>
      </w:tr>
    </w:tbl>
    <w:p>
      <w:pPr>
        <w:spacing w:before="0" w:after="0"/>
      </w:pPr>
    </w:p>
    <w:p>
      <w:pPr>
        <w:jc w:val="both"/>
        <w:pStyle w:val="Normal"/>
        <w:spacing w:line="240" w:lineRule="auto"/>
      </w:pPr>
      <w:r>
        <w:rPr>
          <w:sz w:val="24"/>
          <w:rFonts w:ascii="Times New Roman" w:hAnsi="Times New Roman"/>
        </w:rPr>
        <w:t>Veći su za 11,3 % od ostvarenog u izvještajnom razdoblju prethodne godine što je rezultat utjecaja inflacije te povećanja aktivnosti (veći broj zatvorenika)</w:t>
      </w:r>
    </w:p>
    <w:p/>
    <w:p>
      <w:pPr>
        <w:jc w:val="center"/>
        <w:pStyle w:val="Normal"/>
        <w:spacing w:line="240" w:lineRule="auto"/>
        <w:keepNext/>
      </w:pPr>
      <w:r>
        <w:rPr>
          <w:sz w:val="28"/>
          <w:rFonts w:ascii="Times New Roman" w:hAnsi="Times New Roman"/>
        </w:rPr>
        <w:t>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putovanja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2.083,56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4.978,53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238,9</w:t>
            </w:r>
          </w:p>
        </w:tc>
      </w:tr>
    </w:tbl>
    <w:p>
      <w:pPr>
        <w:spacing w:before="0" w:after="0"/>
      </w:pPr>
    </w:p>
    <w:p>
      <w:pPr>
        <w:jc w:val="both"/>
        <w:pStyle w:val="Normal"/>
        <w:spacing w:line="240" w:lineRule="auto"/>
      </w:pPr>
      <w:r>
        <w:rPr>
          <w:sz w:val="24"/>
          <w:rFonts w:ascii="Times New Roman" w:hAnsi="Times New Roman"/>
        </w:rPr>
        <w:t>Veći su za 138,9 % u odnosu na izvještajno razdoblje prethodne godine zbog povećanog broja izobrazbi, seminara, edukacija</w:t>
      </w:r>
    </w:p>
    <w:p/>
    <w:p>
      <w:pPr>
        <w:jc w:val="center"/>
        <w:pStyle w:val="Normal"/>
        <w:spacing w:line="240" w:lineRule="auto"/>
        <w:keepNext/>
      </w:pPr>
      <w:r>
        <w:rPr>
          <w:sz w:val="28"/>
          <w:rFonts w:ascii="Times New Roman" w:hAnsi="Times New Roman"/>
        </w:rPr>
        <w:t>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prijevoz, za rad na terenu i odvojeni život</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19.652,02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24.422,46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124,3</w:t>
            </w:r>
          </w:p>
        </w:tc>
      </w:tr>
    </w:tbl>
    <w:p>
      <w:pPr>
        <w:spacing w:before="0" w:after="0"/>
      </w:pPr>
    </w:p>
    <w:p>
      <w:pPr>
        <w:jc w:val="both"/>
        <w:pStyle w:val="Normal"/>
        <w:spacing w:line="240" w:lineRule="auto"/>
      </w:pPr>
      <w:r>
        <w:rPr>
          <w:sz w:val="24"/>
          <w:rFonts w:ascii="Times New Roman" w:hAnsi="Times New Roman"/>
        </w:rPr>
        <w:t>Rashod je veći za 24,3 % u odnosu na izvještajno razdoblje prethodne godine iz razloga što je uključeno ukupno 7 rashoda vezano za ukidanje aktivnih vremenskih razgraničenja.</w:t>
      </w:r>
    </w:p>
    <w:p/>
    <w:p>
      <w:pPr>
        <w:jc w:val="center"/>
        <w:pStyle w:val="Normal"/>
        <w:spacing w:line="240" w:lineRule="auto"/>
        <w:keepNext/>
      </w:pPr>
      <w:r>
        <w:rPr>
          <w:sz w:val="28"/>
          <w:rFonts w:ascii="Times New Roman" w:hAnsi="Times New Roman"/>
        </w:rPr>
        <w:t>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Stručno usavršavanje zaposlenika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1.364,60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535,1</w:t>
            </w:r>
          </w:p>
        </w:tc>
      </w:tr>
    </w:tbl>
    <w:p>
      <w:pPr>
        <w:spacing w:before="0" w:after="0"/>
      </w:pPr>
    </w:p>
    <w:p>
      <w:pPr>
        <w:jc w:val="both"/>
        <w:pStyle w:val="Normal"/>
        <w:spacing w:line="240" w:lineRule="auto"/>
      </w:pPr>
      <w:r>
        <w:rPr>
          <w:sz w:val="24"/>
          <w:rFonts w:ascii="Times New Roman" w:hAnsi="Times New Roman"/>
        </w:rPr>
        <w:t>Veći su za 435,1 % u odnosu na izvještajno razdoblje prethodne godine zbog većeg broja  seminara i  izobrazbi iz područja javne nabave, te veterinarstva</w:t>
      </w:r>
    </w:p>
    <w:p/>
    <w:p>
      <w:pPr>
        <w:jc w:val="center"/>
        <w:pStyle w:val="Normal"/>
        <w:spacing w:line="240" w:lineRule="auto"/>
        <w:keepNext/>
      </w:pPr>
      <w:r>
        <w:rPr>
          <w:sz w:val="28"/>
          <w:rFonts w:ascii="Times New Roman" w:hAnsi="Times New Roman"/>
        </w:rPr>
        <w:t>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Uredski materijal i ostali materijalni rashodi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20.339,32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27.918,07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137,3</w:t>
            </w:r>
          </w:p>
        </w:tc>
      </w:tr>
    </w:tbl>
    <w:p>
      <w:pPr>
        <w:spacing w:before="0" w:after="0"/>
      </w:pPr>
    </w:p>
    <w:p>
      <w:pPr>
        <w:jc w:val="both"/>
        <w:pStyle w:val="Normal"/>
        <w:spacing w:line="240" w:lineRule="auto"/>
      </w:pPr>
      <w:r>
        <w:rPr>
          <w:sz w:val="24"/>
          <w:rFonts w:ascii="Times New Roman" w:hAnsi="Times New Roman"/>
        </w:rPr>
        <w:t>Veći su za 37,3 % u odnosu na izvještajno razdoblje prethodne godine  zbog povećanja aktivnosti i većeg broja zatvorenika</w:t>
      </w:r>
    </w:p>
    <w:p/>
    <w:p>
      <w:pPr>
        <w:jc w:val="center"/>
        <w:pStyle w:val="Normal"/>
        <w:spacing w:line="240" w:lineRule="auto"/>
        <w:keepNext/>
      </w:pPr>
      <w:r>
        <w:rPr>
          <w:sz w:val="28"/>
          <w:rFonts w:ascii="Times New Roman" w:hAnsi="Times New Roman"/>
        </w:rPr>
        <w:t>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dijelovi za tekuće i investicijsko održavanje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3.799,01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11.745,70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309,2</w:t>
            </w:r>
          </w:p>
        </w:tc>
      </w:tr>
    </w:tbl>
    <w:p>
      <w:pPr>
        <w:spacing w:before="0" w:after="0"/>
      </w:pPr>
    </w:p>
    <w:p>
      <w:pPr>
        <w:jc w:val="both"/>
        <w:pStyle w:val="Normal"/>
        <w:spacing w:line="240" w:lineRule="auto"/>
      </w:pPr>
      <w:r>
        <w:rPr>
          <w:sz w:val="24"/>
          <w:rFonts w:ascii="Times New Roman" w:hAnsi="Times New Roman"/>
        </w:rPr>
        <w:t>Veći su za 209,2 % u odnosu na izvještajno razdoblje prethodne godine  - zbog utroška materijala za adaptacije soba za zatvorenike, redovno održavanje te utroška materijala za tekuće održavanje prijevoznih sredstava</w:t>
      </w:r>
    </w:p>
    <w:p/>
    <w:p>
      <w:pPr>
        <w:jc w:val="center"/>
        <w:pStyle w:val="Normal"/>
        <w:spacing w:line="240" w:lineRule="auto"/>
        <w:keepNext/>
      </w:pPr>
      <w:r>
        <w:rPr>
          <w:sz w:val="28"/>
          <w:rFonts w:ascii="Times New Roman" w:hAnsi="Times New Roman"/>
        </w:rPr>
        <w:t>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radna i zaštitna odjeća i obuća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689,38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3.327,07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482,6</w:t>
            </w:r>
          </w:p>
        </w:tc>
      </w:tr>
    </w:tbl>
    <w:p>
      <w:pPr>
        <w:spacing w:before="0" w:after="0"/>
      </w:pPr>
    </w:p>
    <w:p>
      <w:pPr>
        <w:jc w:val="both"/>
        <w:pStyle w:val="Normal"/>
        <w:spacing w:line="240" w:lineRule="auto"/>
      </w:pPr>
      <w:r>
        <w:rPr>
          <w:sz w:val="24"/>
          <w:rFonts w:ascii="Times New Roman" w:hAnsi="Times New Roman"/>
        </w:rPr>
        <w:t>Veći su za 382,6 % u odnosu na izvještajno razdoblje prethodne godine zbog povećanih potreba za nabavom radne odjeće i obuće za zatvorenike i većeg broja radno angažiranih zatvorenika</w:t>
      </w:r>
    </w:p>
    <w:p/>
    <w:p>
      <w:pPr>
        <w:jc w:val="center"/>
        <w:pStyle w:val="Normal"/>
        <w:spacing w:line="240" w:lineRule="auto"/>
        <w:keepNext/>
      </w:pPr>
      <w:r>
        <w:rPr>
          <w:sz w:val="28"/>
          <w:rFonts w:ascii="Times New Roman" w:hAnsi="Times New Roman"/>
        </w:rPr>
        <w:t>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telefona, interneta, pošte i prijevoza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6.502,02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10.615,44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163,3</w:t>
            </w:r>
          </w:p>
        </w:tc>
      </w:tr>
    </w:tbl>
    <w:p>
      <w:pPr>
        <w:spacing w:before="0" w:after="0"/>
      </w:pPr>
    </w:p>
    <w:p>
      <w:pPr>
        <w:jc w:val="both"/>
        <w:pStyle w:val="Normal"/>
        <w:spacing w:line="240" w:lineRule="auto"/>
      </w:pPr>
      <w:r>
        <w:rPr>
          <w:sz w:val="24"/>
          <w:rFonts w:ascii="Times New Roman" w:hAnsi="Times New Roman"/>
        </w:rPr>
        <w:t>Veći su za 63,3 % u odnosu na izvještajno razdoblje prethodne godine uzrokovano većim cijenama, povećanjem aktivnosti te novim načinom knjiženja troškova cestarine službenih vozila u odnosu na izvještajno razdoblje prethodne godine</w:t>
      </w:r>
    </w:p>
    <w:p/>
    <w:p>
      <w:pPr>
        <w:jc w:val="center"/>
        <w:pStyle w:val="Normal"/>
        <w:spacing w:line="240" w:lineRule="auto"/>
        <w:keepNext/>
      </w:pPr>
      <w:r>
        <w:rPr>
          <w:sz w:val="28"/>
          <w:rFonts w:ascii="Times New Roman" w:hAnsi="Times New Roman"/>
        </w:rPr>
        <w:t>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42.328,63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50.408,38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119,1</w:t>
            </w:r>
          </w:p>
        </w:tc>
      </w:tr>
    </w:tbl>
    <w:p>
      <w:pPr>
        <w:spacing w:before="0" w:after="0"/>
      </w:pPr>
    </w:p>
    <w:p>
      <w:pPr>
        <w:jc w:val="both"/>
        <w:pStyle w:val="Normal"/>
        <w:spacing w:line="240" w:lineRule="auto"/>
      </w:pPr>
      <w:r>
        <w:rPr>
          <w:sz w:val="24"/>
          <w:rFonts w:ascii="Times New Roman" w:hAnsi="Times New Roman"/>
        </w:rPr>
        <w:t>Veći su za 19,1 % u odnosu na izvještajno razdoblje prethodne godine   zbog povećanja cijena usluga i povećanja potrošnje</w:t>
      </w:r>
    </w:p>
    <w:p/>
    <w:p>
      <w:pPr>
        <w:jc w:val="center"/>
        <w:pStyle w:val="Normal"/>
        <w:spacing w:line="240" w:lineRule="auto"/>
        <w:keepNext/>
      </w:pPr>
      <w:r>
        <w:rPr>
          <w:sz w:val="28"/>
          <w:rFonts w:ascii="Times New Roman" w:hAnsi="Times New Roman"/>
        </w:rPr>
        <w:t>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Zakupnine i najamnine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948,69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4.834,23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509,6</w:t>
            </w:r>
          </w:p>
        </w:tc>
      </w:tr>
    </w:tbl>
    <w:p>
      <w:pPr>
        <w:spacing w:before="0" w:after="0"/>
      </w:pPr>
    </w:p>
    <w:p>
      <w:pPr>
        <w:jc w:val="both"/>
        <w:pStyle w:val="Normal"/>
        <w:spacing w:line="240" w:lineRule="auto"/>
      </w:pPr>
      <w:r>
        <w:rPr>
          <w:sz w:val="24"/>
          <w:rFonts w:ascii="Times New Roman" w:hAnsi="Times New Roman"/>
        </w:rPr>
        <w:t>Veći su za 409,6% u odnosu na izvještajno razdoblje prethodne godine zbog većih cijena ugovorenog zakupa poljoprivrednog zemljišta i povećanja broja ugovora</w:t>
      </w:r>
    </w:p>
    <w:p/>
    <w:p>
      <w:pPr>
        <w:jc w:val="center"/>
        <w:pStyle w:val="Normal"/>
        <w:spacing w:line="240" w:lineRule="auto"/>
        <w:keepNext/>
      </w:pPr>
      <w:r>
        <w:rPr>
          <w:sz w:val="28"/>
          <w:rFonts w:ascii="Times New Roman" w:hAnsi="Times New Roman"/>
        </w:rPr>
        <w:t>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Zdravstvene i veterinarske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3.716,48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4.715,87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126,9</w:t>
            </w:r>
          </w:p>
        </w:tc>
      </w:tr>
    </w:tbl>
    <w:p>
      <w:pPr>
        <w:spacing w:before="0" w:after="0"/>
      </w:pPr>
    </w:p>
    <w:p>
      <w:pPr>
        <w:jc w:val="both"/>
        <w:pStyle w:val="Normal"/>
        <w:spacing w:line="240" w:lineRule="auto"/>
      </w:pPr>
      <w:r>
        <w:rPr>
          <w:sz w:val="24"/>
          <w:rFonts w:ascii="Times New Roman" w:hAnsi="Times New Roman"/>
        </w:rPr>
        <w:t>Veće su za 26,9 % u odnosu na izvještajno razdoblje prethodne godine zbog povećanih potreba liječenja zatvorenika (stranih državljana)</w:t>
      </w:r>
    </w:p>
    <w:p/>
    <w:p>
      <w:pPr>
        <w:jc w:val="center"/>
        <w:pStyle w:val="Normal"/>
        <w:spacing w:line="240" w:lineRule="auto"/>
        <w:keepNext/>
      </w:pPr>
      <w:r>
        <w:rPr>
          <w:sz w:val="28"/>
          <w:rFonts w:ascii="Times New Roman" w:hAnsi="Times New Roman"/>
        </w:rPr>
        <w:t>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Intelektualne i osobne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5.090,40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6.828,89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134,2</w:t>
            </w:r>
          </w:p>
        </w:tc>
      </w:tr>
    </w:tbl>
    <w:p>
      <w:pPr>
        <w:spacing w:before="0" w:after="0"/>
      </w:pPr>
    </w:p>
    <w:p>
      <w:pPr>
        <w:jc w:val="both"/>
        <w:pStyle w:val="Normal"/>
        <w:spacing w:line="240" w:lineRule="auto"/>
      </w:pPr>
      <w:r>
        <w:rPr>
          <w:sz w:val="24"/>
          <w:rFonts w:ascii="Times New Roman" w:hAnsi="Times New Roman"/>
        </w:rPr>
        <w:t>Veće su za 34,2 %  u odnosu na izvještajno razdoblje prethodne godine zbog povećanja cijena ugovorenih usluga.</w:t>
      </w:r>
    </w:p>
    <w:p/>
    <w:p>
      <w:pPr>
        <w:jc w:val="center"/>
        <w:pStyle w:val="Normal"/>
        <w:spacing w:line="240" w:lineRule="auto"/>
        <w:keepNext/>
      </w:pPr>
      <w:r>
        <w:rPr>
          <w:sz w:val="28"/>
          <w:rFonts w:ascii="Times New Roman" w:hAnsi="Times New Roman"/>
        </w:rPr>
        <w:t>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rad predstavničkih i izvršnih tijela, povjerenstava i slično</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29.162,89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33.364,37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114,4</w:t>
            </w:r>
          </w:p>
        </w:tc>
      </w:tr>
    </w:tbl>
    <w:p>
      <w:pPr>
        <w:spacing w:before="0" w:after="0"/>
      </w:pPr>
    </w:p>
    <w:p>
      <w:pPr>
        <w:jc w:val="both"/>
        <w:pStyle w:val="Normal"/>
        <w:spacing w:line="240" w:lineRule="auto"/>
      </w:pPr>
      <w:r>
        <w:rPr>
          <w:sz w:val="24"/>
          <w:rFonts w:ascii="Times New Roman" w:hAnsi="Times New Roman"/>
        </w:rPr>
        <w:t>Veće su za 14,4 % u odnosu na izvještajno razdoblje prethodne godine  uzrokovano većim isplatama naknada za rad zatvorenicima  zbog povećanja proračunske osnovice</w:t>
      </w:r>
    </w:p>
    <w:p/>
    <w:p>
      <w:pPr>
        <w:jc w:val="center"/>
        <w:pStyle w:val="Normal"/>
        <w:spacing w:line="240" w:lineRule="auto"/>
        <w:keepNext/>
      </w:pPr>
      <w:r>
        <w:rPr>
          <w:sz w:val="28"/>
          <w:rFonts w:ascii="Times New Roman" w:hAnsi="Times New Roman"/>
        </w:rPr>
        <w:t>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Premije osiguranja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4.228,20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6.369,02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150,6</w:t>
            </w:r>
          </w:p>
        </w:tc>
      </w:tr>
    </w:tbl>
    <w:p>
      <w:pPr>
        <w:spacing w:before="0" w:after="0"/>
      </w:pPr>
    </w:p>
    <w:p>
      <w:pPr>
        <w:jc w:val="both"/>
        <w:pStyle w:val="Normal"/>
        <w:spacing w:line="240" w:lineRule="auto"/>
      </w:pPr>
      <w:r>
        <w:rPr>
          <w:sz w:val="24"/>
          <w:rFonts w:ascii="Times New Roman" w:hAnsi="Times New Roman"/>
        </w:rPr>
        <w:t>Veće su za 50,6 % u odnosu na izvještajno razdoblje prethodne godine  uzrokovano povećanjem voznog parka.</w:t>
      </w:r>
    </w:p>
    <w:p/>
    <w:p>
      <w:pPr>
        <w:jc w:val="center"/>
        <w:pStyle w:val="Normal"/>
        <w:spacing w:line="240" w:lineRule="auto"/>
        <w:keepNext/>
      </w:pPr>
      <w:r>
        <w:rPr>
          <w:sz w:val="28"/>
          <w:rFonts w:ascii="Times New Roman" w:hAnsi="Times New Roman"/>
        </w:rPr>
        <w:t>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Reprezentacija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230,56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485,90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210,7</w:t>
            </w:r>
          </w:p>
        </w:tc>
      </w:tr>
    </w:tbl>
    <w:p>
      <w:pPr>
        <w:spacing w:before="0" w:after="0"/>
      </w:pPr>
    </w:p>
    <w:p>
      <w:pPr>
        <w:jc w:val="both"/>
        <w:pStyle w:val="Normal"/>
        <w:spacing w:line="240" w:lineRule="auto"/>
      </w:pPr>
      <w:r>
        <w:rPr>
          <w:sz w:val="24"/>
          <w:rFonts w:ascii="Times New Roman" w:hAnsi="Times New Roman"/>
        </w:rPr>
        <w:t>Veća je za 110,7 % u odnosu na izvještajno razdoblje prethodne godine uzrokovano organizacijom radnog ručka prilikom posjete predstavnika ministarstva</w:t>
      </w:r>
    </w:p>
    <w:p/>
    <w:p>
      <w:pPr>
        <w:jc w:val="center"/>
        <w:pStyle w:val="Normal"/>
        <w:spacing w:line="240" w:lineRule="auto"/>
        <w:keepNext/>
      </w:pPr>
      <w:r>
        <w:rPr>
          <w:sz w:val="28"/>
          <w:rFonts w:ascii="Times New Roman" w:hAnsi="Times New Roman"/>
        </w:rPr>
        <w:t>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Pristojbe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272,54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Rashodi nisu zabilježeni u prethodnom razdoblju zbog novog načina knjiženja HRT pristojbe. Rashodi se odnose na HRT pristojbu i te pristojbu javnog bilježnika</w:t>
      </w:r>
    </w:p>
    <w:p/>
    <w:p>
      <w:pPr>
        <w:jc w:val="center"/>
        <w:pStyle w:val="Normal"/>
        <w:spacing w:line="240" w:lineRule="auto"/>
        <w:keepNext/>
      </w:pPr>
      <w:r>
        <w:rPr>
          <w:sz w:val="28"/>
          <w:rFonts w:ascii="Times New Roman" w:hAnsi="Times New Roman"/>
        </w:rPr>
        <w:t>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412,17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1.169,73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283,8</w:t>
            </w:r>
          </w:p>
        </w:tc>
      </w:tr>
    </w:tbl>
    <w:p>
      <w:pPr>
        <w:spacing w:before="0" w:after="0"/>
      </w:pPr>
    </w:p>
    <w:p>
      <w:pPr>
        <w:jc w:val="both"/>
        <w:pStyle w:val="Normal"/>
        <w:spacing w:line="240" w:lineRule="auto"/>
      </w:pPr>
      <w:r>
        <w:rPr>
          <w:sz w:val="24"/>
          <w:rFonts w:ascii="Times New Roman" w:hAnsi="Times New Roman"/>
        </w:rPr>
        <w:t>Veći su za 183,8 % u odnosu na izvještajno razdoblje prethodne godine zbog izrade tahograf kartica za vozače kamiona, troškova, dovođenja zatvorenika i isplate putnih troškova zatvorenicima.</w:t>
      </w:r>
    </w:p>
    <w:p/>
    <w:p>
      <w:pPr>
        <w:jc w:val="center"/>
        <w:pStyle w:val="Normal"/>
        <w:spacing w:line="240" w:lineRule="auto"/>
        <w:keepNext/>
      </w:pPr>
      <w:r>
        <w:rPr>
          <w:sz w:val="28"/>
          <w:rFonts w:ascii="Times New Roman" w:hAnsi="Times New Roman"/>
        </w:rPr>
        <w:t>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Financijski rashodi (šifre 341+342+343)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498,96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2.368,37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474,7</w:t>
            </w:r>
          </w:p>
        </w:tc>
      </w:tr>
    </w:tbl>
    <w:p>
      <w:pPr>
        <w:spacing w:before="0" w:after="0"/>
      </w:pPr>
    </w:p>
    <w:p>
      <w:pPr>
        <w:jc w:val="both"/>
        <w:pStyle w:val="Normal"/>
        <w:spacing w:line="240" w:lineRule="auto"/>
      </w:pPr>
      <w:r>
        <w:rPr>
          <w:sz w:val="24"/>
          <w:rFonts w:ascii="Times New Roman" w:hAnsi="Times New Roman"/>
        </w:rPr>
        <w:t>Veći su za 374,7 % od ostvarenog u izvještajnom razdoblju prethodne godine, a odnose se na bankarske usluge HPB-a i na kamate na primljene zajmove za financijski leasing – nabava hladnjače za prijevoz mesa</w:t>
      </w:r>
    </w:p>
    <w:p/>
    <w:p>
      <w:pPr>
        <w:jc w:val="center"/>
        <w:pStyle w:val="Normal"/>
        <w:spacing w:line="240" w:lineRule="auto"/>
        <w:keepNext/>
      </w:pPr>
      <w:r>
        <w:rPr>
          <w:sz w:val="28"/>
          <w:rFonts w:ascii="Times New Roman" w:hAnsi="Times New Roman"/>
        </w:rPr>
        <w:t>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donacije, kazne, naknade šteta i kapitalne pomoći (šifre 381+382+383+386)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10.151,23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pPr>
        <w:jc w:val="both"/>
        <w:pStyle w:val="Normal"/>
        <w:spacing w:line="240" w:lineRule="auto"/>
      </w:pPr>
      <w:r>
        <w:rPr>
          <w:sz w:val="24"/>
          <w:rFonts w:ascii="Times New Roman" w:hAnsi="Times New Roman"/>
        </w:rPr>
        <w:t>U izvještajnom razdoblju nismo imali evidentiranih rashoda dok su u prethodnom razdoblju iznosili 10.151,23 € a odnose se na isplatu sredstava udrugama civilnog društva HUP „Pčelinjak“ na temelju ugovora sa Ministarstvom pravosuđa za provođenje projekta „Život s pčelama“
</w:t>
      </w:r>
    </w:p>
    <w:p/>
    <w:p>
      <w:pPr>
        <w:jc w:val="center"/>
        <w:pStyle w:val="Normal"/>
        <w:spacing w:line="240" w:lineRule="auto"/>
        <w:keepNext/>
      </w:pPr>
      <w:r>
        <w:rPr>
          <w:sz w:val="28"/>
          <w:rFonts w:ascii="Times New Roman" w:hAnsi="Times New Roman"/>
        </w:rPr>
        <w:t>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Postrojenja i oprema (šifre 4221 do 4228)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8.201,12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44.212,50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539,1</w:t>
            </w:r>
          </w:p>
        </w:tc>
      </w:tr>
    </w:tbl>
    <w:p>
      <w:pPr>
        <w:spacing w:before="0" w:after="0"/>
      </w:pPr>
    </w:p>
    <w:p>
      <w:pPr>
        <w:jc w:val="both"/>
        <w:pStyle w:val="Normal"/>
        <w:spacing w:line="240" w:lineRule="auto"/>
      </w:pPr>
      <w:r>
        <w:rPr>
          <w:sz w:val="24"/>
          <w:rFonts w:ascii="Times New Roman" w:hAnsi="Times New Roman"/>
        </w:rPr>
        <w:t>Veći su za 439,1 % u odnosu na izvještajno razdoblje prethodne godine zbog nabave opreme za komunikaciju, skupljača za sijeno, okretača , kosilice, miksera za gnojnicu, hladnjaka i korpe za utovarivač.</w:t>
      </w:r>
    </w:p>
    <w:p/>
    <w:p>
      <w:pPr>
        <w:jc w:val="center"/>
        <w:pStyle w:val="Normal"/>
        <w:spacing w:line="240" w:lineRule="auto"/>
        <w:keepNext/>
      </w:pPr>
      <w:r>
        <w:rPr>
          <w:sz w:val="28"/>
          <w:rFonts w:ascii="Times New Roman" w:hAnsi="Times New Roman"/>
        </w:rPr>
        <w:t>Bilješka 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Komunikacijska oprema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6.790,00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Ostavareni rashod odnosi se na Opremu za uspostavu komunikacije poziv-odziv na zatvorenom odjelu što u izvještajnom razdoblju prethodne godine nismo imali.</w:t>
      </w:r>
    </w:p>
    <w:p/>
    <w:p>
      <w:pPr>
        <w:jc w:val="center"/>
        <w:pStyle w:val="Normal"/>
        <w:spacing w:line="240" w:lineRule="auto"/>
        <w:keepNext/>
      </w:pPr>
      <w:r>
        <w:rPr>
          <w:sz w:val="28"/>
          <w:rFonts w:ascii="Times New Roman" w:hAnsi="Times New Roman"/>
        </w:rPr>
        <w:t>Bilješka 41.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Instrumenti i uređaji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5.285,13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36.235,00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685,6</w:t>
            </w:r>
          </w:p>
        </w:tc>
      </w:tr>
    </w:tbl>
    <w:p>
      <w:pPr>
        <w:spacing w:before="0" w:after="0"/>
      </w:pPr>
    </w:p>
    <w:p>
      <w:pPr>
        <w:jc w:val="both"/>
        <w:pStyle w:val="Normal"/>
        <w:spacing w:line="240" w:lineRule="auto"/>
      </w:pPr>
      <w:r>
        <w:rPr>
          <w:sz w:val="24"/>
          <w:rFonts w:ascii="Times New Roman" w:hAnsi="Times New Roman"/>
        </w:rPr>
        <w:t>Veći su za 585,60 % u odnosu na izvještajno razdoblje prethodne godine zbog nabave skupljača za sijeno, okretača , kosilice, miksera za gnojnicu i  hladnjaka </w:t>
      </w:r>
    </w:p>
    <w:p/>
    <w:p>
      <w:pPr>
        <w:jc w:val="center"/>
        <w:pStyle w:val="Normal"/>
        <w:spacing w:line="240" w:lineRule="auto"/>
        <w:keepNext/>
      </w:pPr>
      <w:r>
        <w:rPr>
          <w:sz w:val="28"/>
          <w:rFonts w:ascii="Times New Roman" w:hAnsi="Times New Roman"/>
        </w:rPr>
        <w:t>Bilješka 42.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dodatna ulaganja na nefinancijskoj imovini (šifre 451 do 454)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272,7</w:t>
            </w:r>
          </w:p>
        </w:tc>
      </w:tr>
    </w:tbl>
    <w:p>
      <w:pPr>
        <w:spacing w:before="0" w:after="0"/>
      </w:pPr>
    </w:p>
    <w:p>
      <w:pPr>
        <w:jc w:val="both"/>
        <w:pStyle w:val="Normal"/>
        <w:spacing w:line="240" w:lineRule="auto"/>
      </w:pPr>
      <w:r>
        <w:rPr>
          <w:sz w:val="24"/>
          <w:rFonts w:ascii="Times New Roman" w:hAnsi="Times New Roman"/>
        </w:rPr>
        <w:t>Veći su za 172,7 % a odnose se na troškove izrade projektne dokumentacije – rekonstrukcija kotlovnice.</w:t>
      </w:r>
    </w:p>
    <w:p/>
    <w:p>
      <w:pPr>
        <w:jc w:val="center"/>
        <w:pStyle w:val="Normal"/>
        <w:spacing w:line="240" w:lineRule="auto"/>
        <w:keepNext/>
      </w:pPr>
      <w:r>
        <w:rPr>
          <w:sz w:val="28"/>
          <w:rFonts w:ascii="Times New Roman" w:hAnsi="Times New Roman"/>
        </w:rPr>
        <w:t>Bilješka 43.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otplatu glavnice primljenih kredita i zajmova (šifre 541+542+543+544+545+547)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5.227,79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Otplatu glavnice primljenih kredita od tuzemnih kreditnih institucija za otplatu financijskog leasinga za nabavu hladnjače za prijevoz mesa, nabavljeno u prosincu 2024.</w:t>
      </w:r>
    </w:p>
    <w:p/>
    <w:p>
      <w:pPr>
        <w:jc w:val="center"/>
        <w:pStyle w:val="Normal"/>
        <w:spacing w:line="240" w:lineRule="auto"/>
        <w:keepNext/>
      </w:pPr>
      <w:r>
        <w:rPr>
          <w:sz w:val="28"/>
          <w:rFonts w:ascii="Times New Roman" w:hAnsi="Times New Roman"/>
        </w:rPr>
        <w:t>Bilješka 44.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PRIMITAKA OD FINANCIJSKE IMOVINE I ZADUŽIVANJA (šifre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5.227,79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Otplata glavnice financijskog lesinga za nabavu hladnjače</w:t>
      </w:r>
    </w:p>
    <w:p/>
    <w:p>
      <w:pPr>
        <w:jc w:val="center"/>
        <w:pStyle w:val="Normal"/>
        <w:spacing w:line="240" w:lineRule="auto"/>
        <w:keepNext/>
      </w:pPr>
      <w:r>
        <w:rPr>
          <w:sz w:val="28"/>
          <w:rFonts w:ascii="Times New Roman" w:hAnsi="Times New Roman"/>
        </w:rPr>
        <w:t>Bilješka 45.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primitaka od financijske imovine - preneseni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53.428,61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Financijski leasing za nabavu hladnjače za prijevoz svježeg mesa.</w:t>
      </w:r>
    </w:p>
    <w:p/>
    <w:p>
      <w:pPr>
        <w:jc w:val="center"/>
        <w:pStyle w:val="Normal"/>
        <w:spacing w:line="240" w:lineRule="auto"/>
        <w:keepNext/>
      </w:pPr>
      <w:r>
        <w:rPr>
          <w:sz w:val="28"/>
          <w:rFonts w:ascii="Times New Roman" w:hAnsi="Times New Roman"/>
        </w:rPr>
        <w:t>Bilješka 46.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za pokriće u sljedećem razdoblju (šifre Y005 + '9222-9221' - X005 - '9221-9222'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342.018,91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Utvrđeni manjak prihoda u iznosu 342.018,91 € rezultat je manjka ostvarenih prihoda i primitaka u odnosu na ostvarene rashode u izvještajnom razdoblju u iznosu 361.302,74 € i viška prihoda i primitaka prenesenoga u iznosu 19.283,83 €.
Na utvrđeni manjak prihoda u izvještajnom razdoblju utjecao je ostvareni manjak prihoda poslovanja u iznosu 298.362,45 € - što je rezultat novog načina knjiženja rashoda - ukidanje pozicije 19 - aktivna vremenska razgraničenja , manjak prihoda od nefinancijske imovine u iznos 57.712,50 € , manjak prihoda od financijske imovine u iznosu 5.227,79 € te preneseni višak u iznosu 19.283,83 €.</w:t>
      </w:r>
    </w:p>
    <w:p/>
    <w:p>
      <w:pPr>
        <w:jc w:val="center"/>
        <w:pStyle w:val="Normal"/>
        <w:spacing w:line="240" w:lineRule="auto"/>
        <w:keepNext/>
      </w:pPr>
      <w:r>
        <w:rPr>
          <w:b/>
          <w:sz w:val="28"/>
          <w:rFonts w:ascii="Times New Roman" w:hAnsi="Times New Roman"/>
        </w:rPr>
        <w:t>Izvještaj o obvezama</w:t>
      </w:r>
    </w:p>
    <w:p>
      <w:pPr>
        <w:jc w:val="center"/>
        <w:pStyle w:val="Normal"/>
        <w:spacing w:line="240" w:lineRule="auto"/>
        <w:keepNext/>
      </w:pPr>
      <w:r>
        <w:rPr>
          <w:sz w:val="28"/>
          <w:rFonts w:ascii="Times New Roman" w:hAnsi="Times New Roman"/>
        </w:rPr>
        <w:t>Bilješka 47.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Na kraju izvještajnog razdoblja nisu zabilježen e dospjele obveze.</w:t>
      </w:r>
    </w:p>
    <w:p/>
    <w:p>
      <w:pPr>
        <w:jc w:val="center"/>
        <w:pStyle w:val="Normal"/>
        <w:spacing w:line="240" w:lineRule="auto"/>
        <w:keepNext/>
      </w:pPr>
      <w:r>
        <w:rPr>
          <w:sz w:val="28"/>
          <w:rFonts w:ascii="Times New Roman" w:hAnsi="Times New Roman"/>
        </w:rPr>
        <w:t>Bilješka 48.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Međusobne obveze subjekata općeg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35.602,87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Obveze za povrat u proračun bolovanja preko 42 dana </w:t>
      </w:r>
    </w:p>
    <w:p/>
    <w:p>
      <w:pPr>
        <w:jc w:val="center"/>
        <w:pStyle w:val="Normal"/>
        <w:spacing w:line="240" w:lineRule="auto"/>
        <w:keepNext/>
      </w:pPr>
      <w:r>
        <w:rPr>
          <w:sz w:val="28"/>
          <w:rFonts w:ascii="Times New Roman" w:hAnsi="Times New Roman"/>
        </w:rPr>
        <w:t>Bilješka 49.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354.402,31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Odnose  se na rashode za zaposlene, materijalne rashode</w:t>
      </w:r>
    </w:p>
    <w:p/>
    <w:p>
      <w:pPr>
        <w:jc w:val="center"/>
        <w:pStyle w:val="Normal"/>
        <w:spacing w:line="240" w:lineRule="auto"/>
        <w:keepNext/>
      </w:pPr>
      <w:r>
        <w:rPr>
          <w:sz w:val="28"/>
          <w:rFonts w:ascii="Times New Roman" w:hAnsi="Times New Roman"/>
        </w:rPr>
        <w:t>Bilješka 50.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2.168,75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Nabava hladnjaka</w:t>
      </w:r>
    </w:p>
    <w:p/>
    <w:p>
      <w:pPr>
        <w:jc w:val="center"/>
        <w:pStyle w:val="Normal"/>
        <w:spacing w:line="240" w:lineRule="auto"/>
        <w:keepNext/>
      </w:pPr>
      <w:r>
        <w:rPr>
          <w:sz w:val="28"/>
          <w:rFonts w:ascii="Times New Roman" w:hAnsi="Times New Roman"/>
        </w:rPr>
        <w:t>Bilješka 51.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financijsku imovinu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 dio 25,26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48.200,82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Obveze za financijsku imovinu (otplata kredita – financijski leasing) </w:t>
      </w:r>
    </w:p>
    <w:p/>
    <w:p>
      <w:pPr>
        <w:jc w:val="center"/>
        <w:pStyle w:val="Normal"/>
        <w:spacing w:line="240" w:lineRule="auto"/>
        <w:keepNext/>
      </w:pPr>
      <w:r>
        <w:rPr>
          <w:sz w:val="28"/>
          <w:rFonts w:ascii="Times New Roman" w:hAnsi="Times New Roman"/>
        </w:rPr>
        <w:t>Bilješka 52.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 depozite, jamčevne pologe i tuđe prihode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Obveza se odnosi na primljeni iznos jamstava za ozbiljnost ponude u postupku javne nabave traktora</w:t>
      </w:r>
    </w:p>
    <w:p/>
  </w:body>
</w:document>
</file>

<file path=word/styles.xml><?xml version="1.0" encoding="utf-8"?>
<w:styles xmlns:w="http://schemas.openxmlformats.org/wordprocessingml/2006/main">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54e6b39e05514a12" /></Relationships>
</file>